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 w:val="30"/>
          <w:szCs w:val="30"/>
        </w:rPr>
        <w:t>附件7</w:t>
      </w:r>
    </w:p>
    <w:p>
      <w:pPr>
        <w:spacing w:line="480" w:lineRule="exact"/>
        <w:jc w:val="center"/>
        <w:rPr>
          <w:rFonts w:hint="eastAsia" w:ascii="宋体" w:hAnsi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</w:t>
      </w:r>
      <w:r>
        <w:rPr>
          <w:rFonts w:hint="eastAsia" w:ascii="宋体" w:hAnsi="宋体" w:cs="宋体"/>
          <w:bCs/>
          <w:sz w:val="28"/>
          <w:szCs w:val="28"/>
        </w:rPr>
        <w:t>“广东省五四红旗团委”申报表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261"/>
        <w:gridCol w:w="1161"/>
        <w:gridCol w:w="590"/>
        <w:gridCol w:w="774"/>
        <w:gridCol w:w="509"/>
        <w:gridCol w:w="661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地址邮编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团员人数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2019年“推优”入党人数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2019年团员编号使用率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团干部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   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专职团干部数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团委书记是否同级党委委员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列席同级党委会议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（2019.01至2020.03）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（截至2020.04.01）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是否为获得本级团组织奖项的团员录入奖励信息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4"/>
                <w:kern w:val="10"/>
                <w:szCs w:val="21"/>
              </w:rPr>
              <w:t>（2019.01至2019.12）</w:t>
            </w: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2019年活动开展数</w:t>
            </w: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团委以上荣誉情况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1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4"/>
        <w:adjustRightInd w:val="0"/>
        <w:snapToGrid w:val="0"/>
        <w:spacing w:before="156" w:beforeLines="5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说明：1.所属类别指党政机关、事业单位、普通高校、普通中学、中等职业学校、国有企业、集体企业、非公企业、农村、街道社区、军队、街道社区、青年社会组织、互联网行业组织、其他。</w:t>
      </w:r>
    </w:p>
    <w:p>
      <w:pPr>
        <w:pStyle w:val="4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3.</w:t>
      </w:r>
      <w:r>
        <w:rPr>
          <w:rFonts w:hint="eastAsia"/>
          <w:sz w:val="21"/>
          <w:szCs w:val="21"/>
        </w:rPr>
        <w:t>平均业务及时响应率=</w:t>
      </w:r>
      <w:r>
        <w:rPr>
          <w:rFonts w:hint="eastAsia"/>
          <w:position w:val="-24"/>
          <w:sz w:val="21"/>
          <w:szCs w:val="21"/>
        </w:rPr>
        <w:object>
          <v:shape id="_x0000_i1025" o:spt="75" type="#_x0000_t75" style="height:30.5pt;width:225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4.团员连续3个月未交团费比例=</w:t>
      </w:r>
      <w:r>
        <w:rPr>
          <w:rFonts w:hint="eastAsia" w:ascii="宋体"/>
          <w:position w:val="-26"/>
          <w:sz w:val="21"/>
          <w:szCs w:val="21"/>
        </w:rPr>
        <w:object>
          <v:shape id="_x0000_i1026" o:spt="75" type="#_x0000_t75" style="height:30.4pt;width:131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5.请勿更改申报表格式，保持本表在两页纸内，纸质版请双面打印。</w:t>
      </w:r>
    </w:p>
    <w:p>
      <w:pPr>
        <w:pStyle w:val="4"/>
        <w:adjustRightInd w:val="0"/>
        <w:snapToGrid w:val="0"/>
        <w:spacing w:before="0" w:beforeAutospacing="0" w:after="0" w:afterAutospacing="0" w:line="240" w:lineRule="atLeast"/>
        <w:rPr>
          <w:rFonts w:ascii="方正仿宋_GBK" w:hAnsi="方正仿宋_GBK" w:eastAsia="方正仿宋_GBK" w:cs="方正仿宋_GBK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64" w:gutter="0"/>
          <w:pgNumType w:fmt="decimalFullWidt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3715B"/>
    <w:rsid w:val="49D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2020-03-15T06:43:00Z</dcterms:created>
  <dc:creator>＃</dc:creator>
  <cp:lastModifiedBy>＃</cp:lastModifiedBy>
  <dcterms:modified xsi:type="dcterms:W3CDTF">2020-03-15T06:43:47Z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